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722"/>
        <w:gridCol w:w="2693"/>
        <w:gridCol w:w="1843"/>
      </w:tblGrid>
      <w:tr w:rsidR="00235845" w14:paraId="6414953A" w14:textId="77777777" w:rsidTr="00C84C54">
        <w:tc>
          <w:tcPr>
            <w:tcW w:w="2518" w:type="dxa"/>
          </w:tcPr>
          <w:p w14:paraId="7924995E" w14:textId="77777777" w:rsidR="00235845" w:rsidRPr="00235845" w:rsidRDefault="00235845" w:rsidP="00235845">
            <w:pPr>
              <w:jc w:val="center"/>
              <w:rPr>
                <w:rFonts w:ascii="Arial" w:hAnsi="Arial" w:cs="Arial"/>
                <w:b/>
                <w:color w:val="000000"/>
                <w:sz w:val="16"/>
                <w:szCs w:val="16"/>
                <w:shd w:val="clear" w:color="auto" w:fill="FFFFFF"/>
              </w:rPr>
            </w:pPr>
            <w:r w:rsidRPr="00235845">
              <w:rPr>
                <w:rFonts w:ascii="Arial" w:hAnsi="Arial" w:cs="Arial"/>
                <w:noProof/>
                <w:sz w:val="16"/>
                <w:szCs w:val="16"/>
                <w:lang w:eastAsia="zh-CN"/>
              </w:rPr>
              <w:drawing>
                <wp:inline distT="0" distB="0" distL="0" distR="0" wp14:anchorId="7D7CED94" wp14:editId="3CB34E50">
                  <wp:extent cx="640080" cy="631778"/>
                  <wp:effectExtent l="0" t="0" r="7620" b="0"/>
                  <wp:docPr id="5" name="Рисунок 5" descr="C:\Users\home\Desktop\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скачанные файлы.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0314" cy="641879"/>
                          </a:xfrm>
                          <a:prstGeom prst="rect">
                            <a:avLst/>
                          </a:prstGeom>
                          <a:noFill/>
                          <a:ln>
                            <a:noFill/>
                          </a:ln>
                        </pic:spPr>
                      </pic:pic>
                    </a:graphicData>
                  </a:graphic>
                </wp:inline>
              </w:drawing>
            </w:r>
          </w:p>
          <w:p w14:paraId="0C1CB372" w14:textId="77777777" w:rsidR="00235845" w:rsidRPr="00235845" w:rsidRDefault="00235845" w:rsidP="00235845">
            <w:pPr>
              <w:rPr>
                <w:rFonts w:ascii="Arial" w:hAnsi="Arial" w:cs="Arial"/>
                <w:b/>
                <w:color w:val="000000"/>
                <w:sz w:val="16"/>
                <w:szCs w:val="16"/>
                <w:shd w:val="clear" w:color="auto" w:fill="FFFFFF"/>
              </w:rPr>
            </w:pPr>
          </w:p>
        </w:tc>
        <w:tc>
          <w:tcPr>
            <w:tcW w:w="2722" w:type="dxa"/>
          </w:tcPr>
          <w:p w14:paraId="441CDF7A" w14:textId="77777777" w:rsidR="00235845" w:rsidRPr="00235845" w:rsidRDefault="00235845" w:rsidP="00235845">
            <w:pPr>
              <w:jc w:val="center"/>
              <w:rPr>
                <w:rFonts w:ascii="Arial" w:hAnsi="Arial" w:cs="Arial"/>
                <w:bCs/>
                <w:noProof/>
                <w:sz w:val="16"/>
                <w:szCs w:val="16"/>
                <w:lang w:eastAsia="ru-RU"/>
              </w:rPr>
            </w:pPr>
            <w:r w:rsidRPr="00235845">
              <w:rPr>
                <w:rFonts w:ascii="Arial" w:hAnsi="Arial" w:cs="Arial"/>
                <w:b/>
                <w:noProof/>
                <w:sz w:val="16"/>
                <w:szCs w:val="16"/>
                <w:shd w:val="clear" w:color="auto" w:fill="FFFFFF"/>
                <w:lang w:eastAsia="zh-CN"/>
              </w:rPr>
              <w:drawing>
                <wp:inline distT="0" distB="0" distL="0" distR="0" wp14:anchorId="45D01D2B" wp14:editId="5BFBC6BF">
                  <wp:extent cx="508604" cy="674370"/>
                  <wp:effectExtent l="0" t="0" r="0" b="0"/>
                  <wp:docPr id="4" name="Рисунок 4" descr="C:\Users\Zhana\Desktop\Национальный_герб_ЮАР.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a\Desktop\Национальный_герб_ЮАР.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853" cy="687960"/>
                          </a:xfrm>
                          <a:prstGeom prst="rect">
                            <a:avLst/>
                          </a:prstGeom>
                          <a:noFill/>
                          <a:ln>
                            <a:noFill/>
                          </a:ln>
                        </pic:spPr>
                      </pic:pic>
                    </a:graphicData>
                  </a:graphic>
                </wp:inline>
              </w:drawing>
            </w:r>
          </w:p>
        </w:tc>
        <w:tc>
          <w:tcPr>
            <w:tcW w:w="2693" w:type="dxa"/>
          </w:tcPr>
          <w:p w14:paraId="22B6149A" w14:textId="77777777" w:rsidR="00235845" w:rsidRPr="00235845" w:rsidRDefault="00235845" w:rsidP="00235845">
            <w:pPr>
              <w:jc w:val="center"/>
              <w:rPr>
                <w:rFonts w:ascii="Arial" w:hAnsi="Arial" w:cs="Arial"/>
                <w:b/>
                <w:color w:val="000000"/>
                <w:sz w:val="16"/>
                <w:szCs w:val="16"/>
                <w:shd w:val="clear" w:color="auto" w:fill="FFFFFF"/>
              </w:rPr>
            </w:pPr>
            <w:r w:rsidRPr="00235845">
              <w:rPr>
                <w:rFonts w:ascii="Arial" w:hAnsi="Arial" w:cs="Arial"/>
                <w:noProof/>
                <w:sz w:val="16"/>
                <w:szCs w:val="16"/>
                <w:lang w:eastAsia="zh-CN"/>
              </w:rPr>
              <w:drawing>
                <wp:inline distT="0" distB="0" distL="0" distR="0" wp14:anchorId="65047C34" wp14:editId="781DC987">
                  <wp:extent cx="720080" cy="600990"/>
                  <wp:effectExtent l="0" t="0" r="4445" b="889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0080" cy="600990"/>
                          </a:xfrm>
                          <a:prstGeom prst="rect">
                            <a:avLst/>
                          </a:prstGeom>
                        </pic:spPr>
                      </pic:pic>
                    </a:graphicData>
                  </a:graphic>
                </wp:inline>
              </w:drawing>
            </w:r>
          </w:p>
        </w:tc>
        <w:tc>
          <w:tcPr>
            <w:tcW w:w="1843" w:type="dxa"/>
          </w:tcPr>
          <w:p w14:paraId="3E412426" w14:textId="77777777" w:rsidR="00235845" w:rsidRPr="00235845" w:rsidRDefault="00235845" w:rsidP="00235845">
            <w:pPr>
              <w:jc w:val="center"/>
              <w:rPr>
                <w:rFonts w:ascii="Arial" w:hAnsi="Arial" w:cs="Arial"/>
                <w:b/>
                <w:color w:val="000000"/>
                <w:sz w:val="16"/>
                <w:szCs w:val="16"/>
                <w:shd w:val="clear" w:color="auto" w:fill="FFFFFF"/>
              </w:rPr>
            </w:pPr>
            <w:r w:rsidRPr="00235845">
              <w:rPr>
                <w:rFonts w:ascii="Arial" w:hAnsi="Arial" w:cs="Arial"/>
                <w:noProof/>
                <w:sz w:val="16"/>
                <w:szCs w:val="16"/>
                <w:lang w:eastAsia="zh-CN"/>
              </w:rPr>
              <w:drawing>
                <wp:inline distT="0" distB="0" distL="0" distR="0" wp14:anchorId="29C93CCD" wp14:editId="282E4896">
                  <wp:extent cx="971356" cy="350520"/>
                  <wp:effectExtent l="0" t="0" r="635" b="0"/>
                  <wp:docPr id="1" name="Рисунок 1" descr="C:\Users\Zhana\Desktop\ОНК\лого ксонк22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a\Desktop\ОНК\лого ксонк22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075" cy="355471"/>
                          </a:xfrm>
                          <a:prstGeom prst="rect">
                            <a:avLst/>
                          </a:prstGeom>
                          <a:noFill/>
                          <a:ln>
                            <a:noFill/>
                          </a:ln>
                        </pic:spPr>
                      </pic:pic>
                    </a:graphicData>
                  </a:graphic>
                </wp:inline>
              </w:drawing>
            </w:r>
          </w:p>
        </w:tc>
      </w:tr>
      <w:tr w:rsidR="00235845" w:rsidRPr="00235845" w14:paraId="6AE24CA1" w14:textId="77777777" w:rsidTr="00C84C54">
        <w:tc>
          <w:tcPr>
            <w:tcW w:w="2518" w:type="dxa"/>
          </w:tcPr>
          <w:p w14:paraId="04ADC098" w14:textId="77777777" w:rsidR="00235845" w:rsidRPr="00235845" w:rsidRDefault="00235845" w:rsidP="00235845">
            <w:pPr>
              <w:ind w:left="-108"/>
              <w:jc w:val="center"/>
              <w:rPr>
                <w:rFonts w:ascii="Arial" w:hAnsi="Arial" w:cs="Arial"/>
                <w:b/>
                <w:color w:val="000000"/>
                <w:sz w:val="14"/>
                <w:szCs w:val="14"/>
                <w:shd w:val="clear" w:color="auto" w:fill="FFFFFF"/>
              </w:rPr>
            </w:pPr>
            <w:r w:rsidRPr="00235845">
              <w:rPr>
                <w:rFonts w:ascii="Arial" w:hAnsi="Arial" w:cs="Arial"/>
                <w:b/>
                <w:sz w:val="14"/>
                <w:szCs w:val="14"/>
                <w:shd w:val="clear" w:color="auto" w:fill="FFFFFF"/>
                <w:lang w:val="kk-KZ"/>
              </w:rPr>
              <w:t xml:space="preserve">Қазақстан Республикасы Парламент Мәжілісінің заңнама және сот-құқықтық реформа  </w:t>
            </w:r>
            <w:r w:rsidRPr="00235845">
              <w:rPr>
                <w:rFonts w:ascii="Arial" w:hAnsi="Arial" w:cs="Arial"/>
                <w:b/>
                <w:sz w:val="14"/>
                <w:szCs w:val="14"/>
                <w:shd w:val="clear" w:color="auto" w:fill="FFFFFF"/>
              </w:rPr>
              <w:t>Комитет</w:t>
            </w:r>
            <w:r w:rsidRPr="00235845">
              <w:rPr>
                <w:rFonts w:ascii="Arial" w:hAnsi="Arial" w:cs="Arial"/>
                <w:b/>
                <w:sz w:val="14"/>
                <w:szCs w:val="14"/>
                <w:shd w:val="clear" w:color="auto" w:fill="FFFFFF"/>
                <w:lang w:val="kk-KZ"/>
              </w:rPr>
              <w:t xml:space="preserve">і </w:t>
            </w:r>
            <w:r w:rsidRPr="00235845">
              <w:rPr>
                <w:rFonts w:ascii="Arial" w:hAnsi="Arial" w:cs="Arial"/>
                <w:b/>
                <w:sz w:val="14"/>
                <w:szCs w:val="14"/>
                <w:shd w:val="clear" w:color="auto" w:fill="FFFFFF"/>
              </w:rPr>
              <w:t xml:space="preserve"> </w:t>
            </w:r>
          </w:p>
        </w:tc>
        <w:tc>
          <w:tcPr>
            <w:tcW w:w="2722" w:type="dxa"/>
          </w:tcPr>
          <w:p w14:paraId="18C237A0" w14:textId="77777777" w:rsidR="00235845" w:rsidRPr="00235845" w:rsidRDefault="00235845" w:rsidP="00235845">
            <w:pPr>
              <w:jc w:val="center"/>
              <w:rPr>
                <w:rFonts w:ascii="Arial" w:hAnsi="Arial" w:cs="Arial"/>
                <w:b/>
                <w:sz w:val="14"/>
                <w:szCs w:val="14"/>
                <w:shd w:val="clear" w:color="auto" w:fill="FFFFFF"/>
              </w:rPr>
            </w:pPr>
            <w:r w:rsidRPr="00235845">
              <w:rPr>
                <w:rFonts w:ascii="Arial" w:hAnsi="Arial" w:cs="Arial"/>
                <w:b/>
                <w:sz w:val="14"/>
                <w:szCs w:val="14"/>
                <w:shd w:val="clear" w:color="auto" w:fill="FFFFFF"/>
                <w:lang w:val="kk-KZ"/>
              </w:rPr>
              <w:t xml:space="preserve">Оңтүстік Африка Республикасының Қазақстандағы Елшілігі </w:t>
            </w:r>
          </w:p>
          <w:p w14:paraId="6DDCB5A3" w14:textId="77777777" w:rsidR="00235845" w:rsidRPr="00235845" w:rsidRDefault="00235845" w:rsidP="00235845">
            <w:pPr>
              <w:jc w:val="center"/>
              <w:rPr>
                <w:rFonts w:ascii="Arial" w:hAnsi="Arial" w:cs="Arial"/>
                <w:b/>
                <w:sz w:val="14"/>
                <w:szCs w:val="14"/>
                <w:shd w:val="clear" w:color="auto" w:fill="FFFFFF"/>
              </w:rPr>
            </w:pPr>
          </w:p>
        </w:tc>
        <w:tc>
          <w:tcPr>
            <w:tcW w:w="2693" w:type="dxa"/>
          </w:tcPr>
          <w:p w14:paraId="4731171D" w14:textId="77777777" w:rsidR="00235845" w:rsidRPr="00235845" w:rsidRDefault="00235845" w:rsidP="00235845">
            <w:pPr>
              <w:jc w:val="center"/>
              <w:rPr>
                <w:rFonts w:ascii="Arial" w:hAnsi="Arial" w:cs="Arial"/>
                <w:b/>
                <w:sz w:val="14"/>
                <w:szCs w:val="14"/>
                <w:shd w:val="clear" w:color="auto" w:fill="FFFFFF"/>
              </w:rPr>
            </w:pPr>
            <w:r w:rsidRPr="00235845">
              <w:rPr>
                <w:rFonts w:ascii="Arial" w:hAnsi="Arial" w:cs="Arial"/>
                <w:b/>
                <w:sz w:val="14"/>
                <w:szCs w:val="14"/>
                <w:shd w:val="clear" w:color="auto" w:fill="FFFFFF"/>
                <w:lang w:val="kk-KZ"/>
              </w:rPr>
              <w:t>Орталық Азиядағы</w:t>
            </w:r>
            <w:r>
              <w:rPr>
                <w:rFonts w:ascii="Arial" w:hAnsi="Arial" w:cs="Arial"/>
                <w:b/>
                <w:sz w:val="14"/>
                <w:szCs w:val="14"/>
                <w:shd w:val="clear" w:color="auto" w:fill="FFFFFF"/>
                <w:lang w:val="kk-KZ"/>
              </w:rPr>
              <w:t xml:space="preserve"> </w:t>
            </w:r>
            <w:r>
              <w:rPr>
                <w:rFonts w:ascii="Arial" w:hAnsi="Arial" w:cs="Arial"/>
                <w:b/>
                <w:sz w:val="14"/>
                <w:szCs w:val="14"/>
                <w:shd w:val="clear" w:color="auto" w:fill="FFFFFF"/>
                <w:lang w:val="en-US"/>
              </w:rPr>
              <w:t>PRI</w:t>
            </w:r>
            <w:bookmarkStart w:id="0" w:name="_GoBack"/>
            <w:bookmarkEnd w:id="0"/>
            <w:r w:rsidRPr="00235845">
              <w:rPr>
                <w:rFonts w:ascii="Arial" w:hAnsi="Arial" w:cs="Arial"/>
                <w:b/>
                <w:sz w:val="14"/>
                <w:szCs w:val="14"/>
                <w:shd w:val="clear" w:color="auto" w:fill="FFFFFF"/>
                <w:lang w:val="kk-KZ"/>
              </w:rPr>
              <w:t xml:space="preserve"> Халықаралық түрме реформасы </w:t>
            </w:r>
          </w:p>
          <w:p w14:paraId="415098C3" w14:textId="77777777" w:rsidR="00235845" w:rsidRPr="00235845" w:rsidRDefault="00235845" w:rsidP="00235845">
            <w:pPr>
              <w:jc w:val="center"/>
              <w:rPr>
                <w:rFonts w:ascii="Arial" w:hAnsi="Arial" w:cs="Arial"/>
                <w:b/>
                <w:sz w:val="14"/>
                <w:szCs w:val="14"/>
                <w:shd w:val="clear" w:color="auto" w:fill="FFFFFF"/>
              </w:rPr>
            </w:pPr>
          </w:p>
        </w:tc>
        <w:tc>
          <w:tcPr>
            <w:tcW w:w="1843" w:type="dxa"/>
          </w:tcPr>
          <w:p w14:paraId="4C0159E4" w14:textId="77777777" w:rsidR="00235845" w:rsidRPr="00235845" w:rsidRDefault="00235845" w:rsidP="00235845">
            <w:pPr>
              <w:jc w:val="center"/>
              <w:rPr>
                <w:rFonts w:ascii="Arial" w:hAnsi="Arial" w:cs="Arial"/>
                <w:b/>
                <w:color w:val="000000"/>
                <w:sz w:val="14"/>
                <w:szCs w:val="14"/>
                <w:shd w:val="clear" w:color="auto" w:fill="FFFFFF"/>
              </w:rPr>
            </w:pPr>
            <w:r w:rsidRPr="00235845">
              <w:rPr>
                <w:rFonts w:ascii="Arial" w:hAnsi="Arial" w:cs="Arial"/>
                <w:b/>
                <w:sz w:val="14"/>
                <w:szCs w:val="14"/>
                <w:shd w:val="clear" w:color="auto" w:fill="FFFFFF"/>
                <w:lang w:val="kk-KZ"/>
              </w:rPr>
              <w:t>Қоғамдық</w:t>
            </w:r>
            <w:r>
              <w:rPr>
                <w:rFonts w:ascii="Arial" w:hAnsi="Arial" w:cs="Arial"/>
                <w:b/>
                <w:sz w:val="14"/>
                <w:szCs w:val="14"/>
                <w:shd w:val="clear" w:color="auto" w:fill="FFFFFF"/>
                <w:lang w:val="kk-KZ"/>
              </w:rPr>
              <w:t xml:space="preserve"> бақылау комиссияларының</w:t>
            </w:r>
            <w:r w:rsidRPr="00235845">
              <w:rPr>
                <w:rFonts w:ascii="Arial" w:hAnsi="Arial" w:cs="Arial"/>
                <w:b/>
                <w:sz w:val="14"/>
                <w:szCs w:val="14"/>
                <w:shd w:val="clear" w:color="auto" w:fill="FFFFFF"/>
                <w:lang w:val="kk-KZ"/>
              </w:rPr>
              <w:t xml:space="preserve"> Үйлестіру кеңесі </w:t>
            </w:r>
          </w:p>
        </w:tc>
      </w:tr>
    </w:tbl>
    <w:p w14:paraId="06A29D4D" w14:textId="77777777" w:rsidR="00A7209D" w:rsidRDefault="00A7209D" w:rsidP="00235845">
      <w:pPr>
        <w:rPr>
          <w:rFonts w:ascii="Arial" w:hAnsi="Arial" w:cs="Arial"/>
          <w:b/>
          <w:sz w:val="24"/>
          <w:szCs w:val="24"/>
        </w:rPr>
      </w:pPr>
    </w:p>
    <w:p w14:paraId="27793A29" w14:textId="77777777" w:rsidR="00235845" w:rsidRPr="00235845" w:rsidRDefault="00235845" w:rsidP="00235845">
      <w:pPr>
        <w:jc w:val="center"/>
        <w:rPr>
          <w:rFonts w:ascii="Arial" w:hAnsi="Arial" w:cs="Arial"/>
          <w:b/>
          <w:sz w:val="24"/>
          <w:szCs w:val="24"/>
        </w:rPr>
      </w:pPr>
      <w:r>
        <w:rPr>
          <w:rFonts w:ascii="Arial" w:hAnsi="Arial" w:cs="Arial"/>
          <w:b/>
          <w:sz w:val="24"/>
          <w:szCs w:val="24"/>
          <w:lang w:val="kk-KZ"/>
        </w:rPr>
        <w:t>ПРЕСС</w:t>
      </w:r>
      <w:r>
        <w:rPr>
          <w:rFonts w:ascii="Arial" w:hAnsi="Arial" w:cs="Arial"/>
          <w:b/>
          <w:sz w:val="24"/>
          <w:szCs w:val="24"/>
        </w:rPr>
        <w:t xml:space="preserve"> РЕЛИЗ</w:t>
      </w:r>
    </w:p>
    <w:p w14:paraId="70B910A8" w14:textId="77777777" w:rsidR="00235845" w:rsidRPr="00235845" w:rsidRDefault="00235845" w:rsidP="00235845">
      <w:pPr>
        <w:jc w:val="center"/>
        <w:rPr>
          <w:rFonts w:ascii="Arial" w:eastAsiaTheme="minorEastAsia" w:hAnsi="Arial" w:cs="Arial"/>
          <w:b/>
          <w:sz w:val="24"/>
          <w:szCs w:val="24"/>
          <w:lang w:val="kk-KZ" w:eastAsia="zh-CN"/>
        </w:rPr>
      </w:pPr>
      <w:r w:rsidRPr="00235845">
        <w:rPr>
          <w:rFonts w:ascii="Arial" w:hAnsi="Arial" w:cs="Arial"/>
          <w:b/>
          <w:sz w:val="24"/>
          <w:szCs w:val="24"/>
          <w:lang w:val="kk-KZ"/>
        </w:rPr>
        <w:t>ҚАМАУДАҒЫ АДАМДАРДЫҢ ҚҰҚЫҒЫН ҚОРҒАУ ЖӘНЕ ТҮРМЕ ЖҮЙЕСІ ДАМУЫНЫҢ ЖАҢА ДӘУІРІ</w:t>
      </w:r>
    </w:p>
    <w:p w14:paraId="06C0EE1A" w14:textId="77777777" w:rsidR="00801AD9" w:rsidRPr="00235845" w:rsidRDefault="00801AD9" w:rsidP="00801AD9">
      <w:pPr>
        <w:spacing w:after="0" w:line="240" w:lineRule="auto"/>
        <w:jc w:val="center"/>
        <w:rPr>
          <w:rFonts w:ascii="Arial" w:hAnsi="Arial" w:cs="Arial"/>
          <w:b/>
          <w:sz w:val="28"/>
          <w:szCs w:val="28"/>
          <w:lang w:val="kk-KZ"/>
        </w:rPr>
      </w:pPr>
    </w:p>
    <w:p w14:paraId="327B12AB" w14:textId="77777777" w:rsidR="00A7209D" w:rsidRPr="00A7209D" w:rsidRDefault="00A7209D" w:rsidP="00A7209D">
      <w:pPr>
        <w:spacing w:after="0" w:line="240" w:lineRule="auto"/>
        <w:jc w:val="both"/>
        <w:rPr>
          <w:rFonts w:ascii="Arial" w:hAnsi="Arial" w:cs="Arial"/>
          <w:b/>
          <w:sz w:val="18"/>
          <w:szCs w:val="18"/>
        </w:rPr>
      </w:pPr>
      <w:r w:rsidRPr="00A7209D">
        <w:rPr>
          <w:rFonts w:ascii="Arial" w:hAnsi="Arial" w:cs="Arial"/>
          <w:b/>
          <w:sz w:val="18"/>
          <w:szCs w:val="18"/>
        </w:rPr>
        <w:t xml:space="preserve">10 </w:t>
      </w:r>
      <w:r w:rsidR="00D1621F">
        <w:rPr>
          <w:rFonts w:ascii="Arial" w:hAnsi="Arial" w:cs="Arial"/>
          <w:b/>
          <w:sz w:val="18"/>
          <w:szCs w:val="18"/>
          <w:lang w:val="kk-KZ"/>
        </w:rPr>
        <w:t>желтоқсан</w:t>
      </w:r>
      <w:r w:rsidRPr="00A7209D">
        <w:rPr>
          <w:rFonts w:ascii="Arial" w:hAnsi="Arial" w:cs="Arial"/>
          <w:b/>
          <w:sz w:val="18"/>
          <w:szCs w:val="18"/>
        </w:rPr>
        <w:t xml:space="preserve"> 2015, Астана</w:t>
      </w:r>
    </w:p>
    <w:p w14:paraId="3687FEF1" w14:textId="77777777" w:rsidR="00A7209D" w:rsidRPr="00D1621F" w:rsidRDefault="00A7209D" w:rsidP="00A7209D">
      <w:pPr>
        <w:spacing w:after="0" w:line="240" w:lineRule="auto"/>
        <w:jc w:val="both"/>
        <w:rPr>
          <w:rFonts w:ascii="Arial" w:hAnsi="Arial" w:cs="Arial"/>
          <w:b/>
          <w:sz w:val="18"/>
          <w:szCs w:val="18"/>
          <w:lang w:val="kk-KZ"/>
        </w:rPr>
      </w:pPr>
      <w:r w:rsidRPr="00A7209D">
        <w:rPr>
          <w:rFonts w:ascii="Arial" w:hAnsi="Arial" w:cs="Arial"/>
          <w:b/>
          <w:sz w:val="18"/>
          <w:szCs w:val="18"/>
          <w:lang w:val="en-US"/>
        </w:rPr>
        <w:t>Marriott</w:t>
      </w:r>
      <w:r w:rsidR="00D1621F">
        <w:rPr>
          <w:rFonts w:ascii="Arial" w:hAnsi="Arial" w:cs="Arial"/>
          <w:b/>
          <w:sz w:val="18"/>
          <w:szCs w:val="18"/>
          <w:lang w:val="kk-KZ"/>
        </w:rPr>
        <w:t xml:space="preserve"> қонақ үйі мәжіліс залы</w:t>
      </w:r>
    </w:p>
    <w:p w14:paraId="1A4C2EB5" w14:textId="77777777" w:rsidR="00A7209D" w:rsidRPr="00AE5FD2" w:rsidRDefault="00A7209D" w:rsidP="00A7209D">
      <w:pPr>
        <w:spacing w:after="0" w:line="240" w:lineRule="auto"/>
        <w:jc w:val="both"/>
        <w:rPr>
          <w:rFonts w:ascii="Arial" w:hAnsi="Arial" w:cs="Arial"/>
          <w:sz w:val="24"/>
          <w:szCs w:val="24"/>
        </w:rPr>
      </w:pPr>
    </w:p>
    <w:p w14:paraId="77A89058" w14:textId="77777777" w:rsidR="00CE3C9C" w:rsidRPr="00D02136" w:rsidRDefault="00235845" w:rsidP="00A7209D">
      <w:pPr>
        <w:spacing w:after="0" w:line="240" w:lineRule="auto"/>
        <w:jc w:val="both"/>
        <w:rPr>
          <w:rFonts w:ascii="Arial" w:eastAsia="Times New Roman" w:hAnsi="Arial" w:cs="Arial"/>
          <w:lang w:val="kk-KZ" w:eastAsia="ru-RU"/>
        </w:rPr>
      </w:pPr>
      <w:r>
        <w:rPr>
          <w:rFonts w:ascii="Arial" w:eastAsia="Times New Roman" w:hAnsi="Arial" w:cs="Arial"/>
          <w:lang w:eastAsia="ru-RU"/>
        </w:rPr>
        <w:t xml:space="preserve">          </w:t>
      </w:r>
      <w:r w:rsidR="00CE3C9C" w:rsidRPr="00A5729F">
        <w:rPr>
          <w:rFonts w:ascii="Arial" w:eastAsia="Times New Roman" w:hAnsi="Arial" w:cs="Arial"/>
          <w:lang w:val="kk-KZ" w:eastAsia="ru-RU"/>
        </w:rPr>
        <w:t>Орталық Азиядағы Халықаралық түрме реформасы өкілдігі</w:t>
      </w:r>
      <w:r>
        <w:rPr>
          <w:rFonts w:ascii="Arial" w:eastAsia="Times New Roman" w:hAnsi="Arial" w:cs="Arial"/>
          <w:lang w:eastAsia="ru-RU"/>
        </w:rPr>
        <w:t>,</w:t>
      </w:r>
      <w:r w:rsidR="00CE3C9C" w:rsidRPr="00A5729F">
        <w:rPr>
          <w:rFonts w:ascii="Arial" w:eastAsia="Times New Roman" w:hAnsi="Arial" w:cs="Arial"/>
          <w:lang w:val="kk-KZ" w:eastAsia="ru-RU"/>
        </w:rPr>
        <w:t xml:space="preserve"> </w:t>
      </w:r>
      <w:r>
        <w:rPr>
          <w:rFonts w:ascii="Arial" w:eastAsia="Times New Roman" w:hAnsi="Arial" w:cs="Arial"/>
          <w:lang w:val="kk-KZ" w:eastAsia="ru-RU"/>
        </w:rPr>
        <w:t>Парламент Мәжілісінің заңнама</w:t>
      </w:r>
      <w:r w:rsidR="00CE3C9C" w:rsidRPr="00A5729F">
        <w:rPr>
          <w:rFonts w:ascii="Arial" w:eastAsia="Times New Roman" w:hAnsi="Arial" w:cs="Arial"/>
          <w:lang w:val="kk-KZ" w:eastAsia="ru-RU"/>
        </w:rPr>
        <w:t xml:space="preserve"> және сот-құқықтық </w:t>
      </w:r>
      <w:r>
        <w:rPr>
          <w:rFonts w:ascii="Arial" w:eastAsia="Times New Roman" w:hAnsi="Arial" w:cs="Arial"/>
          <w:lang w:val="kk-KZ" w:eastAsia="ru-RU"/>
        </w:rPr>
        <w:t xml:space="preserve">реформа </w:t>
      </w:r>
      <w:r w:rsidR="00CE3C9C" w:rsidRPr="00A5729F">
        <w:rPr>
          <w:rFonts w:ascii="Arial" w:eastAsia="Times New Roman" w:hAnsi="Arial" w:cs="Arial"/>
          <w:lang w:val="kk-KZ" w:eastAsia="ru-RU"/>
        </w:rPr>
        <w:t>Комитеті, Қазақстан Республикасындағы ОАР Елшілігі, БҰҰ Адам Құқығы жөніндегі Жоғарғы Коми</w:t>
      </w:r>
      <w:r w:rsidR="003C2BCC">
        <w:rPr>
          <w:rFonts w:ascii="Arial" w:eastAsia="Times New Roman" w:hAnsi="Arial" w:cs="Arial"/>
          <w:lang w:val="kk-KZ" w:eastAsia="ru-RU"/>
        </w:rPr>
        <w:t>ссары</w:t>
      </w:r>
      <w:r w:rsidR="00CE3C9C" w:rsidRPr="00A5729F">
        <w:rPr>
          <w:rFonts w:ascii="Arial" w:eastAsia="Times New Roman" w:hAnsi="Arial" w:cs="Arial"/>
          <w:lang w:val="kk-KZ" w:eastAsia="ru-RU"/>
        </w:rPr>
        <w:t xml:space="preserve"> Басқармасының өңірлік бөлімшесі және Қазақста</w:t>
      </w:r>
      <w:r>
        <w:rPr>
          <w:rFonts w:ascii="Arial" w:eastAsia="Times New Roman" w:hAnsi="Arial" w:cs="Arial"/>
          <w:lang w:val="kk-KZ" w:eastAsia="ru-RU"/>
        </w:rPr>
        <w:t>нның Қоғамдық Бақылау Комиссиялары</w:t>
      </w:r>
      <w:r w:rsidR="00CE3C9C" w:rsidRPr="00A5729F">
        <w:rPr>
          <w:rFonts w:ascii="Arial" w:eastAsia="Times New Roman" w:hAnsi="Arial" w:cs="Arial"/>
          <w:lang w:val="kk-KZ" w:eastAsia="ru-RU"/>
        </w:rPr>
        <w:t xml:space="preserve">мен бірлесе отырып </w:t>
      </w:r>
      <w:r w:rsidR="00A5729F" w:rsidRPr="00A5729F">
        <w:rPr>
          <w:rFonts w:ascii="Arial" w:eastAsia="Times New Roman" w:hAnsi="Arial" w:cs="Arial"/>
          <w:lang w:val="kk-KZ" w:eastAsia="ru-RU"/>
        </w:rPr>
        <w:t xml:space="preserve">Халықаралық Адам құқығы күні </w:t>
      </w:r>
      <w:r w:rsidR="00CE3C9C" w:rsidRPr="00A5729F">
        <w:rPr>
          <w:rFonts w:ascii="Arial" w:eastAsia="Times New Roman" w:hAnsi="Arial" w:cs="Arial"/>
          <w:lang w:val="kk-KZ" w:eastAsia="ru-RU"/>
        </w:rPr>
        <w:t>сотталушылармен қарым-қатынас жасау ісіне жаңашылдық енгіз</w:t>
      </w:r>
      <w:r w:rsidR="00A5729F" w:rsidRPr="00A5729F">
        <w:rPr>
          <w:rFonts w:ascii="Arial" w:eastAsia="Times New Roman" w:hAnsi="Arial" w:cs="Arial"/>
          <w:lang w:val="kk-KZ" w:eastAsia="ru-RU"/>
        </w:rPr>
        <w:t xml:space="preserve">іп, түрме жүйесін ары қарай реформалау </w:t>
      </w:r>
      <w:r w:rsidR="00CE3C9C" w:rsidRPr="00A5729F">
        <w:rPr>
          <w:rFonts w:ascii="Arial" w:eastAsia="Times New Roman" w:hAnsi="Arial" w:cs="Arial"/>
          <w:lang w:val="kk-KZ" w:eastAsia="ru-RU"/>
        </w:rPr>
        <w:t xml:space="preserve"> мәселесіне арналған дөңгел</w:t>
      </w:r>
      <w:r w:rsidR="00CE3C9C" w:rsidRPr="00D02136">
        <w:rPr>
          <w:rFonts w:ascii="Arial" w:eastAsia="Times New Roman" w:hAnsi="Arial" w:cs="Arial"/>
          <w:lang w:val="kk-KZ" w:eastAsia="ru-RU"/>
        </w:rPr>
        <w:t>ек үстел ұйымдастырады.</w:t>
      </w:r>
    </w:p>
    <w:p w14:paraId="18B681D2" w14:textId="77777777" w:rsidR="00A7209D" w:rsidRPr="00235845" w:rsidRDefault="00235845" w:rsidP="0024208B">
      <w:pPr>
        <w:autoSpaceDE w:val="0"/>
        <w:autoSpaceDN w:val="0"/>
        <w:adjustRightInd w:val="0"/>
        <w:spacing w:after="0" w:line="240" w:lineRule="auto"/>
        <w:jc w:val="both"/>
        <w:rPr>
          <w:rFonts w:ascii="Arial" w:hAnsi="Arial" w:cs="Arial"/>
          <w:lang w:val="kk-KZ"/>
        </w:rPr>
      </w:pPr>
      <w:r>
        <w:rPr>
          <w:rFonts w:ascii="Arial" w:eastAsia="Times New Roman" w:hAnsi="Arial" w:cs="Arial"/>
          <w:lang w:val="kk-KZ" w:eastAsia="ru-RU"/>
        </w:rPr>
        <w:t xml:space="preserve">          </w:t>
      </w:r>
      <w:r w:rsidR="00D02136" w:rsidRPr="00D02136">
        <w:rPr>
          <w:rFonts w:ascii="Arial" w:eastAsia="Times New Roman" w:hAnsi="Arial" w:cs="Arial"/>
          <w:lang w:val="kk-KZ" w:eastAsia="ru-RU"/>
        </w:rPr>
        <w:t>Бәрімізге белгілі, БҰҰ Бас Ассамблеясының 70 сессиясы кезінде қатысушы мемлекеттер басшыларының назарына бұл елдердің түрме басшылығы күнделікті тәжірибеде қолдансын деген мақсатпен аталмыш елдің ұлттық заңнамаларымен сәйкестендіріле қолдануды қажет ететін «Нельсон Манделаның Қағидаттары» деп аталатын жаңа халықаралық стандарт ұсынылған еді.</w:t>
      </w:r>
      <w:r w:rsidR="00D02136">
        <w:rPr>
          <w:rFonts w:ascii="Arial" w:eastAsia="Times New Roman" w:hAnsi="Arial" w:cs="Arial"/>
          <w:lang w:val="kk-KZ" w:eastAsia="ru-RU"/>
        </w:rPr>
        <w:t xml:space="preserve"> Нельсон Мандела ОАР алғашқы қара нәсілді президенті ретінде ғана емес, ОАР-да апартеид режиміне тосқауыл болған Нобель сыйлығының лауреаты ретінде ғана емес, сондай-ақ, 27 жыл бойы түрмеде болып, соның 18 жылын жалғыз қамау камерасында өткізген құқыққорғаушы ретінде белгілі. </w:t>
      </w:r>
      <w:r w:rsidR="0024208B">
        <w:rPr>
          <w:rFonts w:ascii="Arial" w:eastAsia="Times New Roman" w:hAnsi="Arial" w:cs="Arial"/>
          <w:lang w:val="kk-KZ" w:eastAsia="ru-RU"/>
        </w:rPr>
        <w:t xml:space="preserve">Жаңа қағидаттар «Нельсон Манделаның қағидаттары» деп аталуы адам құқығы, теңдік және демократия үшін жанын берген ұлы күрескерге деген құрметтің белгісі болмақ. </w:t>
      </w:r>
    </w:p>
    <w:p w14:paraId="2C9F26E3" w14:textId="77777777" w:rsidR="00A7209D" w:rsidRPr="00A7209D" w:rsidRDefault="00235845" w:rsidP="00A7209D">
      <w:pPr>
        <w:autoSpaceDE w:val="0"/>
        <w:autoSpaceDN w:val="0"/>
        <w:adjustRightInd w:val="0"/>
        <w:spacing w:after="0" w:line="240" w:lineRule="auto"/>
        <w:jc w:val="both"/>
        <w:rPr>
          <w:rFonts w:ascii="Arial" w:hAnsi="Arial" w:cs="Arial"/>
        </w:rPr>
      </w:pPr>
      <w:r w:rsidRPr="00235845">
        <w:rPr>
          <w:rFonts w:ascii="Arial" w:hAnsi="Arial" w:cs="Arial"/>
          <w:lang w:val="kk-KZ"/>
        </w:rPr>
        <w:t xml:space="preserve">          </w:t>
      </w:r>
      <w:r w:rsidR="00A7209D" w:rsidRPr="00235845">
        <w:rPr>
          <w:rFonts w:ascii="Arial" w:hAnsi="Arial" w:cs="Arial"/>
          <w:lang w:val="kk-KZ"/>
        </w:rPr>
        <w:t>«</w:t>
      </w:r>
      <w:r w:rsidR="008D18B3">
        <w:rPr>
          <w:rFonts w:ascii="Arial" w:hAnsi="Arial" w:cs="Arial"/>
          <w:lang w:val="kk-KZ"/>
        </w:rPr>
        <w:t xml:space="preserve">Қағидаттың жаңа минималдық стандарттары </w:t>
      </w:r>
      <w:r w:rsidR="002D6C9A">
        <w:rPr>
          <w:rFonts w:ascii="Arial" w:hAnsi="Arial" w:cs="Arial"/>
          <w:lang w:val="kk-KZ"/>
        </w:rPr>
        <w:t>тұтқындар үшін қауіпсіздік пен адамгершілікке тән жағдайды қамтамасыз ету мақсатымен пенитенциарлық мекемелерде жұмыс істеуге қажетті  соңғы ғылыми жаңалықтар мен алдыңғы</w:t>
      </w:r>
      <w:r w:rsidR="003C2BCC">
        <w:rPr>
          <w:rFonts w:ascii="Arial" w:hAnsi="Arial" w:cs="Arial"/>
          <w:lang w:val="kk-KZ"/>
        </w:rPr>
        <w:t xml:space="preserve"> </w:t>
      </w:r>
      <w:r w:rsidR="002D6C9A">
        <w:rPr>
          <w:rFonts w:ascii="Arial" w:hAnsi="Arial" w:cs="Arial"/>
          <w:lang w:val="kk-KZ"/>
        </w:rPr>
        <w:t>қатарлы тәжірибелерді алға тартады</w:t>
      </w:r>
      <w:r w:rsidR="00A7209D" w:rsidRPr="00235845">
        <w:rPr>
          <w:rFonts w:ascii="Arial" w:hAnsi="Arial" w:cs="Arial"/>
          <w:lang w:val="kk-KZ"/>
        </w:rPr>
        <w:t xml:space="preserve">. </w:t>
      </w:r>
      <w:r w:rsidR="002D6C9A">
        <w:rPr>
          <w:rFonts w:ascii="Arial" w:hAnsi="Arial" w:cs="Arial"/>
          <w:lang w:val="kk-KZ"/>
        </w:rPr>
        <w:t xml:space="preserve">Қағидаттарда бостандығынан айырылған тұлғалармен адамгершілік тұрғысынан қарым қатынас жасауды баса айтумен қатар, азаптау мен басқа да қатыгез, адамшылыққа жатпайтын және ар-намысты аяққа таптайтын жаза түрлеріне мүлдем тоқтау қойып, сотталушының ұзақ уақыт бойы жалғыз қамалуына тыйым салады» - дейді </w:t>
      </w:r>
      <w:r w:rsidR="002D6C9A" w:rsidRPr="00A7209D">
        <w:rPr>
          <w:rFonts w:ascii="Arial" w:hAnsi="Arial" w:cs="Arial"/>
          <w:lang w:val="en-US"/>
        </w:rPr>
        <w:t>PRI</w:t>
      </w:r>
      <w:r w:rsidR="002D6C9A">
        <w:rPr>
          <w:rFonts w:ascii="Arial" w:hAnsi="Arial" w:cs="Arial"/>
          <w:lang w:val="kk-KZ"/>
        </w:rPr>
        <w:t xml:space="preserve"> Халықаралық түрме реформасының басшысы Элисон Ханна ханым (Біріккен Корольдік)</w:t>
      </w:r>
      <w:r w:rsidR="00A7209D" w:rsidRPr="00A7209D">
        <w:rPr>
          <w:rFonts w:ascii="Arial" w:hAnsi="Arial" w:cs="Arial"/>
        </w:rPr>
        <w:t>.</w:t>
      </w:r>
    </w:p>
    <w:p w14:paraId="70A3A4E2" w14:textId="77777777" w:rsidR="00A7209D" w:rsidRPr="00D057AB" w:rsidRDefault="00235845" w:rsidP="00A7209D">
      <w:pPr>
        <w:autoSpaceDE w:val="0"/>
        <w:autoSpaceDN w:val="0"/>
        <w:adjustRightInd w:val="0"/>
        <w:spacing w:after="0" w:line="240" w:lineRule="auto"/>
        <w:jc w:val="both"/>
        <w:rPr>
          <w:rFonts w:ascii="Arial" w:hAnsi="Arial" w:cs="Arial"/>
          <w:lang w:val="kk-KZ" w:eastAsia="ru-RU"/>
        </w:rPr>
      </w:pPr>
      <w:r>
        <w:rPr>
          <w:rFonts w:ascii="Arial" w:hAnsi="Arial" w:cs="Arial"/>
          <w:lang w:eastAsia="ru-RU"/>
        </w:rPr>
        <w:t xml:space="preserve">          </w:t>
      </w:r>
      <w:r w:rsidR="00D057AB" w:rsidRPr="00D057AB">
        <w:rPr>
          <w:rFonts w:ascii="Arial" w:hAnsi="Arial" w:cs="Arial"/>
          <w:lang w:eastAsia="ru-RU"/>
        </w:rPr>
        <w:t>«</w:t>
      </w:r>
      <w:r w:rsidR="00D057AB" w:rsidRPr="00D057AB">
        <w:rPr>
          <w:rFonts w:ascii="Arial" w:hAnsi="Arial" w:cs="Arial"/>
          <w:lang w:val="kk-KZ" w:eastAsia="ru-RU"/>
        </w:rPr>
        <w:t>Қағидаттар алғаш рет 195</w:t>
      </w:r>
      <w:r w:rsidR="00D057AB">
        <w:rPr>
          <w:rFonts w:ascii="Arial" w:hAnsi="Arial" w:cs="Arial"/>
          <w:lang w:val="kk-KZ" w:eastAsia="ru-RU"/>
        </w:rPr>
        <w:t>5</w:t>
      </w:r>
      <w:r w:rsidR="00D057AB" w:rsidRPr="00D057AB">
        <w:rPr>
          <w:rFonts w:ascii="Arial" w:hAnsi="Arial" w:cs="Arial"/>
          <w:lang w:val="kk-KZ" w:eastAsia="ru-RU"/>
        </w:rPr>
        <w:t xml:space="preserve"> жылы қабылданған, уақыт өте келе оларға бірқатар өзгерістер де енгізілді.</w:t>
      </w:r>
      <w:r w:rsidR="00D057AB" w:rsidRPr="00D057AB">
        <w:rPr>
          <w:rFonts w:ascii="Arial" w:hAnsi="Arial" w:cs="Arial"/>
          <w:lang w:eastAsia="ru-RU"/>
        </w:rPr>
        <w:t xml:space="preserve"> </w:t>
      </w:r>
      <w:r w:rsidR="00D057AB" w:rsidRPr="00D057AB">
        <w:rPr>
          <w:rFonts w:ascii="Arial" w:hAnsi="Arial" w:cs="Arial"/>
          <w:lang w:val="kk-KZ" w:eastAsia="ru-RU"/>
        </w:rPr>
        <w:t xml:space="preserve">Жаңа редакциясына </w:t>
      </w:r>
      <w:r w:rsidR="00D057AB" w:rsidRPr="00D057AB">
        <w:rPr>
          <w:rFonts w:ascii="Arial" w:hAnsi="Arial" w:cs="Arial"/>
          <w:lang w:val="en-US" w:eastAsia="ru-RU"/>
        </w:rPr>
        <w:t>PRI</w:t>
      </w:r>
      <w:r w:rsidR="00D057AB" w:rsidRPr="00D057AB">
        <w:rPr>
          <w:rFonts w:ascii="Arial" w:hAnsi="Arial" w:cs="Arial"/>
          <w:lang w:eastAsia="ru-RU"/>
        </w:rPr>
        <w:t xml:space="preserve"> </w:t>
      </w:r>
      <w:r w:rsidR="00D057AB">
        <w:rPr>
          <w:rFonts w:ascii="Arial" w:hAnsi="Arial" w:cs="Arial"/>
          <w:lang w:val="kk-KZ" w:eastAsia="ru-RU"/>
        </w:rPr>
        <w:t xml:space="preserve">БҰҰ Экономикалық және әлеуметтік кеңесімен бірлесе отырып </w:t>
      </w:r>
      <w:r w:rsidR="00D057AB" w:rsidRPr="00D057AB">
        <w:rPr>
          <w:rFonts w:ascii="Arial" w:hAnsi="Arial" w:cs="Arial"/>
          <w:lang w:val="kk-KZ" w:eastAsia="ru-RU"/>
        </w:rPr>
        <w:t xml:space="preserve">соңғы </w:t>
      </w:r>
      <w:r w:rsidR="00D057AB">
        <w:rPr>
          <w:rFonts w:ascii="Arial" w:hAnsi="Arial" w:cs="Arial"/>
          <w:lang w:val="kk-KZ" w:eastAsia="ru-RU"/>
        </w:rPr>
        <w:t>төрт</w:t>
      </w:r>
      <w:r w:rsidR="00D057AB" w:rsidRPr="00D057AB">
        <w:rPr>
          <w:rFonts w:ascii="Arial" w:hAnsi="Arial" w:cs="Arial"/>
          <w:lang w:val="kk-KZ" w:eastAsia="ru-RU"/>
        </w:rPr>
        <w:t xml:space="preserve"> жыл бойы </w:t>
      </w:r>
      <w:r w:rsidR="00D057AB">
        <w:rPr>
          <w:rFonts w:ascii="Arial" w:hAnsi="Arial" w:cs="Arial"/>
          <w:lang w:val="kk-KZ" w:eastAsia="ru-RU"/>
        </w:rPr>
        <w:t>айтарлықтай</w:t>
      </w:r>
      <w:r w:rsidR="00D057AB" w:rsidRPr="00D057AB">
        <w:rPr>
          <w:rFonts w:ascii="Arial" w:hAnsi="Arial" w:cs="Arial"/>
          <w:lang w:val="kk-KZ" w:eastAsia="ru-RU"/>
        </w:rPr>
        <w:t xml:space="preserve"> өзгертулер енгізді. Аталмыш құжат көпшілік мақұлдаған минималды стандарттардың тоғыз бағдарлама саласына өзгертулер енгізеді, атап айтсақ, қамауда ұстау тә</w:t>
      </w:r>
      <w:r w:rsidR="00D057AB">
        <w:rPr>
          <w:rFonts w:ascii="Arial" w:hAnsi="Arial" w:cs="Arial"/>
          <w:lang w:val="kk-KZ" w:eastAsia="ru-RU"/>
        </w:rPr>
        <w:t>ртібі, денсаулық сақтау, өлімнің орын алу жағдайын</w:t>
      </w:r>
      <w:r w:rsidR="00D057AB" w:rsidRPr="00D057AB">
        <w:rPr>
          <w:rFonts w:ascii="Arial" w:hAnsi="Arial" w:cs="Arial"/>
          <w:lang w:val="kk-KZ" w:eastAsia="ru-RU"/>
        </w:rPr>
        <w:t xml:space="preserve"> тексеру, тәртіптік және жалғыз қамау шараларын қолдану, түрме жүйесінің қажеттіліктерін өтеп, жақсарту мақсатында кепілдік құқықтарды қолдау,  түрме қызметкерлері</w:t>
      </w:r>
      <w:r>
        <w:rPr>
          <w:rFonts w:ascii="Arial" w:hAnsi="Arial" w:cs="Arial"/>
          <w:lang w:val="kk-KZ" w:eastAsia="ru-RU"/>
        </w:rPr>
        <w:t xml:space="preserve"> мен тәуелсіз тексерушілердің кә</w:t>
      </w:r>
      <w:r w:rsidR="00D057AB" w:rsidRPr="00D057AB">
        <w:rPr>
          <w:rFonts w:ascii="Arial" w:hAnsi="Arial" w:cs="Arial"/>
          <w:lang w:val="kk-KZ" w:eastAsia="ru-RU"/>
        </w:rPr>
        <w:t>сіби деңгейін көтеру мәселелерін қарастырады» - де</w:t>
      </w:r>
      <w:r w:rsidR="00D057AB">
        <w:rPr>
          <w:rFonts w:ascii="Arial" w:hAnsi="Arial" w:cs="Arial"/>
          <w:lang w:val="kk-KZ" w:eastAsia="ru-RU"/>
        </w:rPr>
        <w:t>йді</w:t>
      </w:r>
      <w:r w:rsidR="00D057AB" w:rsidRPr="00D057AB">
        <w:rPr>
          <w:rFonts w:ascii="Arial" w:hAnsi="Arial" w:cs="Arial"/>
          <w:lang w:val="kk-KZ" w:eastAsia="ru-RU"/>
        </w:rPr>
        <w:t xml:space="preserve"> PRI өңірлік директоры </w:t>
      </w:r>
      <w:r>
        <w:rPr>
          <w:rFonts w:ascii="Arial" w:hAnsi="Arial" w:cs="Arial"/>
          <w:lang w:val="kk-KZ" w:eastAsia="ru-RU"/>
        </w:rPr>
        <w:t xml:space="preserve">                  </w:t>
      </w:r>
      <w:r w:rsidR="00D057AB" w:rsidRPr="00D057AB">
        <w:rPr>
          <w:rFonts w:ascii="Arial" w:hAnsi="Arial" w:cs="Arial"/>
          <w:lang w:val="kk-KZ" w:eastAsia="ru-RU"/>
        </w:rPr>
        <w:t xml:space="preserve">Азамат Шәмбілов. </w:t>
      </w:r>
    </w:p>
    <w:p w14:paraId="50F96ACF" w14:textId="77777777" w:rsidR="00D057AB" w:rsidRPr="00D057AB" w:rsidRDefault="00235845" w:rsidP="00235845">
      <w:pPr>
        <w:spacing w:after="0" w:line="240" w:lineRule="auto"/>
        <w:jc w:val="both"/>
        <w:rPr>
          <w:rFonts w:ascii="Arial" w:eastAsia="Times New Roman" w:hAnsi="Arial" w:cs="Arial"/>
          <w:lang w:val="kk-KZ" w:eastAsia="ru-RU"/>
        </w:rPr>
      </w:pPr>
      <w:r>
        <w:rPr>
          <w:rFonts w:ascii="Arial" w:hAnsi="Arial" w:cs="Arial"/>
          <w:lang w:val="kk-KZ" w:eastAsia="ru-RU"/>
        </w:rPr>
        <w:t xml:space="preserve">          </w:t>
      </w:r>
      <w:r w:rsidR="00D057AB" w:rsidRPr="00D057AB">
        <w:rPr>
          <w:rFonts w:ascii="Arial" w:hAnsi="Arial" w:cs="Arial"/>
          <w:lang w:val="kk-KZ" w:eastAsia="ru-RU"/>
        </w:rPr>
        <w:t xml:space="preserve">Аталмыш қағидаттардың күшіне енуіне байланысты үстіміздегі жылдың желтоқсан айынан бастап дөңгелек үстелге қатысушылар енгізілген өзгертулермен танысып, оларды ұлттық заңнама мен пенитенциарлық жүйеге енгізу мүмкіндін қарастыратын болады. </w:t>
      </w:r>
    </w:p>
    <w:p w14:paraId="0B837905" w14:textId="77777777" w:rsidR="00A7209D" w:rsidRPr="00235845" w:rsidRDefault="00A7209D" w:rsidP="00A7209D">
      <w:pPr>
        <w:autoSpaceDE w:val="0"/>
        <w:autoSpaceDN w:val="0"/>
        <w:adjustRightInd w:val="0"/>
        <w:spacing w:after="0" w:line="240" w:lineRule="auto"/>
        <w:jc w:val="both"/>
        <w:rPr>
          <w:rFonts w:ascii="Arial" w:hAnsi="Arial" w:cs="Arial"/>
          <w:lang w:val="kk-KZ"/>
        </w:rPr>
      </w:pPr>
      <w:r w:rsidRPr="00235845">
        <w:rPr>
          <w:rFonts w:ascii="Arial" w:hAnsi="Arial" w:cs="Arial"/>
          <w:lang w:val="kk-KZ" w:eastAsia="ru-RU"/>
        </w:rPr>
        <w:t xml:space="preserve"> </w:t>
      </w:r>
    </w:p>
    <w:p w14:paraId="4DC664EB" w14:textId="77777777" w:rsidR="00A7209D" w:rsidRPr="00235845" w:rsidRDefault="00A7209D" w:rsidP="00A7209D">
      <w:pPr>
        <w:spacing w:after="0" w:line="240" w:lineRule="auto"/>
        <w:jc w:val="both"/>
        <w:rPr>
          <w:rFonts w:ascii="Arial" w:eastAsia="Times New Roman" w:hAnsi="Arial" w:cs="Arial"/>
          <w:sz w:val="18"/>
          <w:szCs w:val="18"/>
          <w:lang w:val="kk-KZ" w:eastAsia="ru-RU"/>
        </w:rPr>
      </w:pPr>
    </w:p>
    <w:p w14:paraId="4F1A7CBD" w14:textId="77777777" w:rsidR="007140CF" w:rsidRPr="00235845" w:rsidRDefault="00AA34A5" w:rsidP="00235845">
      <w:pPr>
        <w:spacing w:after="0" w:line="360" w:lineRule="auto"/>
        <w:jc w:val="both"/>
        <w:rPr>
          <w:rFonts w:ascii="Arial" w:hAnsi="Arial" w:cs="Arial"/>
          <w:b/>
          <w:i/>
          <w:sz w:val="18"/>
          <w:szCs w:val="18"/>
          <w:lang w:val="kk-KZ" w:eastAsia="ru-RU"/>
        </w:rPr>
      </w:pPr>
      <w:r>
        <w:rPr>
          <w:rFonts w:ascii="Arial" w:hAnsi="Arial" w:cs="Arial"/>
          <w:b/>
          <w:i/>
          <w:sz w:val="18"/>
          <w:szCs w:val="18"/>
          <w:lang w:val="kk-KZ" w:eastAsia="ru-RU"/>
        </w:rPr>
        <w:t xml:space="preserve">Қосымша ақпарат үшін </w:t>
      </w:r>
      <w:r w:rsidRPr="00235845">
        <w:rPr>
          <w:rFonts w:ascii="Arial" w:hAnsi="Arial" w:cs="Arial"/>
          <w:b/>
          <w:i/>
          <w:sz w:val="18"/>
          <w:szCs w:val="18"/>
          <w:lang w:val="kk-KZ" w:eastAsia="ru-RU"/>
        </w:rPr>
        <w:t>PRI</w:t>
      </w:r>
      <w:r>
        <w:rPr>
          <w:rFonts w:ascii="Arial" w:hAnsi="Arial" w:cs="Arial"/>
          <w:b/>
          <w:i/>
          <w:sz w:val="18"/>
          <w:szCs w:val="18"/>
          <w:lang w:val="kk-KZ" w:eastAsia="ru-RU"/>
        </w:rPr>
        <w:t xml:space="preserve"> Халықаралық түрме реформасы Баспасөз қызметіне </w:t>
      </w:r>
      <w:r w:rsidR="00A7209D" w:rsidRPr="00235845">
        <w:rPr>
          <w:rFonts w:ascii="Arial" w:hAnsi="Arial" w:cs="Arial"/>
          <w:b/>
          <w:i/>
          <w:sz w:val="18"/>
          <w:szCs w:val="18"/>
          <w:lang w:val="kk-KZ" w:eastAsia="ru-RU"/>
        </w:rPr>
        <w:t>+7 (7172)7988</w:t>
      </w:r>
      <w:r w:rsidR="00801AD9" w:rsidRPr="00235845">
        <w:rPr>
          <w:rFonts w:ascii="Arial" w:hAnsi="Arial" w:cs="Arial"/>
          <w:b/>
          <w:i/>
          <w:sz w:val="18"/>
          <w:szCs w:val="18"/>
          <w:lang w:val="kk-KZ" w:eastAsia="ru-RU"/>
        </w:rPr>
        <w:t xml:space="preserve"> 8</w:t>
      </w:r>
      <w:r w:rsidR="00A7209D" w:rsidRPr="00235845">
        <w:rPr>
          <w:rFonts w:ascii="Arial" w:hAnsi="Arial" w:cs="Arial"/>
          <w:b/>
          <w:i/>
          <w:sz w:val="18"/>
          <w:szCs w:val="18"/>
          <w:lang w:val="kk-KZ" w:eastAsia="ru-RU"/>
        </w:rPr>
        <w:t>4</w:t>
      </w:r>
      <w:r w:rsidR="00801AD9" w:rsidRPr="00235845">
        <w:rPr>
          <w:rFonts w:ascii="Arial" w:hAnsi="Arial" w:cs="Arial"/>
          <w:b/>
          <w:i/>
          <w:sz w:val="18"/>
          <w:szCs w:val="18"/>
          <w:lang w:val="kk-KZ" w:eastAsia="ru-RU"/>
        </w:rPr>
        <w:t>, 76 99 34, 76 99 35</w:t>
      </w:r>
      <w:r w:rsidR="00A7209D" w:rsidRPr="00235845">
        <w:rPr>
          <w:rFonts w:ascii="Arial" w:hAnsi="Arial" w:cs="Arial"/>
          <w:b/>
          <w:i/>
          <w:sz w:val="18"/>
          <w:szCs w:val="18"/>
          <w:lang w:val="kk-KZ" w:eastAsia="ru-RU"/>
        </w:rPr>
        <w:t xml:space="preserve"> </w:t>
      </w:r>
      <w:r>
        <w:rPr>
          <w:rFonts w:ascii="Arial" w:hAnsi="Arial" w:cs="Arial"/>
          <w:b/>
          <w:i/>
          <w:sz w:val="18"/>
          <w:szCs w:val="18"/>
          <w:lang w:val="kk-KZ" w:eastAsia="ru-RU"/>
        </w:rPr>
        <w:t xml:space="preserve">телефондары немесе </w:t>
      </w:r>
      <w:hyperlink r:id="rId8" w:history="1">
        <w:r w:rsidR="00A7209D" w:rsidRPr="00235845">
          <w:rPr>
            <w:rStyle w:val="a4"/>
            <w:rFonts w:ascii="Arial" w:hAnsi="Arial" w:cs="Arial"/>
            <w:b/>
            <w:i/>
            <w:sz w:val="18"/>
            <w:szCs w:val="18"/>
            <w:lang w:val="kk-KZ"/>
          </w:rPr>
          <w:t>znazarova@penalreform.org</w:t>
        </w:r>
      </w:hyperlink>
      <w:r w:rsidR="00801AD9" w:rsidRPr="00235845">
        <w:rPr>
          <w:rFonts w:ascii="Arial" w:hAnsi="Arial" w:cs="Arial"/>
          <w:b/>
          <w:i/>
          <w:sz w:val="18"/>
          <w:szCs w:val="18"/>
          <w:lang w:val="kk-KZ" w:eastAsia="ru-RU"/>
        </w:rPr>
        <w:t>,</w:t>
      </w:r>
      <w:r w:rsidRPr="00AA34A5">
        <w:rPr>
          <w:rFonts w:ascii="Arial" w:hAnsi="Arial" w:cs="Arial"/>
          <w:b/>
          <w:i/>
          <w:sz w:val="18"/>
          <w:szCs w:val="18"/>
          <w:lang w:val="kk-KZ" w:eastAsia="ru-RU"/>
        </w:rPr>
        <w:t xml:space="preserve">  </w:t>
      </w:r>
      <w:hyperlink r:id="rId9" w:history="1">
        <w:r w:rsidR="00801AD9" w:rsidRPr="00235845">
          <w:rPr>
            <w:rStyle w:val="a4"/>
            <w:rFonts w:ascii="Arial" w:hAnsi="Arial" w:cs="Arial"/>
            <w:b/>
            <w:i/>
            <w:sz w:val="18"/>
            <w:szCs w:val="18"/>
            <w:lang w:val="kk-KZ" w:eastAsia="ru-RU"/>
          </w:rPr>
          <w:t>inurmaganbetov@penalreform.org</w:t>
        </w:r>
      </w:hyperlink>
      <w:r w:rsidRPr="00AA34A5">
        <w:rPr>
          <w:rFonts w:ascii="Arial" w:hAnsi="Arial" w:cs="Arial"/>
          <w:b/>
          <w:i/>
          <w:sz w:val="18"/>
          <w:szCs w:val="18"/>
          <w:lang w:val="kk-KZ"/>
        </w:rPr>
        <w:t xml:space="preserve"> электрондық поштасымен хабарласуыңызға болады.</w:t>
      </w:r>
    </w:p>
    <w:sectPr w:rsidR="007140CF" w:rsidRPr="00235845" w:rsidSect="00801AD9">
      <w:pgSz w:w="11906" w:h="16838"/>
      <w:pgMar w:top="1134"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11"/>
    <w:rsid w:val="0004780F"/>
    <w:rsid w:val="00235845"/>
    <w:rsid w:val="0024208B"/>
    <w:rsid w:val="00285069"/>
    <w:rsid w:val="002D6C9A"/>
    <w:rsid w:val="003C2BCC"/>
    <w:rsid w:val="007140CF"/>
    <w:rsid w:val="00801AD9"/>
    <w:rsid w:val="008751CE"/>
    <w:rsid w:val="008D18B3"/>
    <w:rsid w:val="00A5729F"/>
    <w:rsid w:val="00A7209D"/>
    <w:rsid w:val="00AA34A5"/>
    <w:rsid w:val="00C84C54"/>
    <w:rsid w:val="00CE3C9C"/>
    <w:rsid w:val="00D02136"/>
    <w:rsid w:val="00D057AB"/>
    <w:rsid w:val="00D1621F"/>
    <w:rsid w:val="00FC6E55"/>
    <w:rsid w:val="00FE301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B565"/>
  <w15:docId w15:val="{2060A8FE-EB23-48BE-8C0A-18DFA4A6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09D"/>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20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7209D"/>
    <w:rPr>
      <w:color w:val="0000FF"/>
      <w:u w:val="single"/>
    </w:rPr>
  </w:style>
  <w:style w:type="paragraph" w:styleId="a5">
    <w:name w:val="Balloon Text"/>
    <w:basedOn w:val="a"/>
    <w:link w:val="a6"/>
    <w:uiPriority w:val="99"/>
    <w:semiHidden/>
    <w:unhideWhenUsed/>
    <w:rsid w:val="002850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506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nazarova@penalreform.org"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inurmaganbetov@penalrefor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3117</Characters>
  <Application>Microsoft Office Word</Application>
  <DocSecurity>4</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dc:creator>
  <cp:lastModifiedBy>Ilyas</cp:lastModifiedBy>
  <cp:revision>2</cp:revision>
  <cp:lastPrinted>2015-12-09T16:53:00Z</cp:lastPrinted>
  <dcterms:created xsi:type="dcterms:W3CDTF">2015-12-09T16:54:00Z</dcterms:created>
  <dcterms:modified xsi:type="dcterms:W3CDTF">2015-12-09T16:54:00Z</dcterms:modified>
</cp:coreProperties>
</file>